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A7" w:rsidRDefault="00B241A7">
      <w:pPr>
        <w:pStyle w:val="Heading1"/>
      </w:pPr>
      <w:r>
        <w:t>World Geography Syllabus</w:t>
      </w: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FBCS Grades 7-9</w:t>
      </w: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January-May, 2006</w:t>
      </w: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12:00-12:35 PM, MWF; Room 108</w:t>
      </w:r>
    </w:p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Instructor:</w:t>
      </w: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Mr. Mast (Office: 814.789.4769; Home: 814.789.3437; E-mail: </w:t>
      </w:r>
      <w:hyperlink r:id="rId6" w:history="1">
        <w:r>
          <w:rPr>
            <w:rStyle w:val="Hyperlink"/>
            <w:rFonts w:ascii="Georgia" w:hAnsi="Georgia"/>
            <w:sz w:val="24"/>
          </w:rPr>
          <w:t>matthewm@fbep.org</w:t>
        </w:r>
      </w:hyperlink>
      <w:r w:rsidR="001243B1">
        <w:rPr>
          <w:rFonts w:ascii="Georgia" w:hAnsi="Georgia"/>
          <w:sz w:val="24"/>
        </w:rPr>
        <w:t>)</w:t>
      </w:r>
    </w:p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 xml:space="preserve">Objective: </w:t>
      </w:r>
      <w:r>
        <w:rPr>
          <w:rFonts w:ascii="Georgia" w:hAnsi="Georgia"/>
          <w:sz w:val="24"/>
        </w:rPr>
        <w:t>The objective of this course is to develop core knowledge of the physical and political geography of the world that will enable the student to understand history and current events.</w:t>
      </w:r>
    </w:p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 xml:space="preserve">Learning Outcomes: </w:t>
      </w:r>
      <w:r>
        <w:rPr>
          <w:rFonts w:ascii="Georgia" w:hAnsi="Georgia"/>
          <w:sz w:val="24"/>
        </w:rPr>
        <w:t>A student who has successfully completed this course will:</w:t>
      </w:r>
    </w:p>
    <w:p w:rsidR="00B241A7" w:rsidRDefault="00B241A7">
      <w:pPr>
        <w:numPr>
          <w:ilvl w:val="0"/>
          <w:numId w:val="1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Be able to decode information from most maps and globes and demonstrate ability to use atlases.</w:t>
      </w:r>
    </w:p>
    <w:p w:rsidR="00B241A7" w:rsidRDefault="00B241A7">
      <w:pPr>
        <w:numPr>
          <w:ilvl w:val="0"/>
          <w:numId w:val="1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 able to understand </w:t>
      </w:r>
      <w:proofErr w:type="gramStart"/>
      <w:r>
        <w:rPr>
          <w:rFonts w:ascii="Georgia" w:hAnsi="Georgia"/>
          <w:sz w:val="24"/>
        </w:rPr>
        <w:t>latitude and longitude</w:t>
      </w:r>
      <w:proofErr w:type="gramEnd"/>
      <w:r>
        <w:rPr>
          <w:rFonts w:ascii="Georgia" w:hAnsi="Georgia"/>
          <w:sz w:val="24"/>
        </w:rPr>
        <w:t xml:space="preserve"> and the rotation of the earth.</w:t>
      </w:r>
    </w:p>
    <w:p w:rsidR="00B241A7" w:rsidRDefault="00B241A7">
      <w:pPr>
        <w:numPr>
          <w:ilvl w:val="0"/>
          <w:numId w:val="1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 able to draw </w:t>
      </w:r>
      <w:proofErr w:type="gramStart"/>
      <w:r>
        <w:rPr>
          <w:rFonts w:ascii="Georgia" w:hAnsi="Georgia"/>
          <w:sz w:val="24"/>
        </w:rPr>
        <w:t>free-hand</w:t>
      </w:r>
      <w:proofErr w:type="gramEnd"/>
      <w:r>
        <w:rPr>
          <w:rFonts w:ascii="Georgia" w:hAnsi="Georgia"/>
          <w:sz w:val="24"/>
        </w:rPr>
        <w:t xml:space="preserve"> from memory an </w:t>
      </w:r>
      <w:proofErr w:type="spellStart"/>
      <w:r>
        <w:rPr>
          <w:rFonts w:ascii="Georgia" w:hAnsi="Georgia"/>
          <w:sz w:val="24"/>
        </w:rPr>
        <w:t>Equirectangular</w:t>
      </w:r>
      <w:proofErr w:type="spellEnd"/>
      <w:r>
        <w:rPr>
          <w:rFonts w:ascii="Georgia" w:hAnsi="Georgia"/>
          <w:sz w:val="24"/>
        </w:rPr>
        <w:t xml:space="preserve"> Projection map of the world.</w:t>
      </w:r>
    </w:p>
    <w:p w:rsidR="00B241A7" w:rsidRDefault="00B241A7">
      <w:pPr>
        <w:numPr>
          <w:ilvl w:val="0"/>
          <w:numId w:val="1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 able to place countries, capitals and major cities, and major </w:t>
      </w:r>
      <w:proofErr w:type="gramStart"/>
      <w:r>
        <w:rPr>
          <w:rFonts w:ascii="Georgia" w:hAnsi="Georgia"/>
          <w:sz w:val="24"/>
        </w:rPr>
        <w:t>land forms</w:t>
      </w:r>
      <w:proofErr w:type="gramEnd"/>
      <w:r>
        <w:rPr>
          <w:rFonts w:ascii="Georgia" w:hAnsi="Georgia"/>
          <w:sz w:val="24"/>
        </w:rPr>
        <w:t xml:space="preserve"> (including oceans, seas, lakes, rivers, mountains and mountain ranges, plateaus, and deserts) on the </w:t>
      </w:r>
      <w:proofErr w:type="spellStart"/>
      <w:r>
        <w:rPr>
          <w:rFonts w:ascii="Georgia" w:hAnsi="Georgia"/>
          <w:sz w:val="24"/>
        </w:rPr>
        <w:t>Equirectangular</w:t>
      </w:r>
      <w:proofErr w:type="spellEnd"/>
      <w:r>
        <w:rPr>
          <w:rFonts w:ascii="Georgia" w:hAnsi="Georgia"/>
          <w:sz w:val="24"/>
        </w:rPr>
        <w:t xml:space="preserve"> Projection map from memory.</w:t>
      </w:r>
    </w:p>
    <w:p w:rsidR="00B241A7" w:rsidRDefault="00B241A7">
      <w:pPr>
        <w:numPr>
          <w:ilvl w:val="0"/>
          <w:numId w:val="1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Appreciate the major cultures of the world from exposure to their customs and location.</w:t>
      </w:r>
    </w:p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>Course Requirements:</w:t>
      </w:r>
    </w:p>
    <w:p w:rsidR="00B241A7" w:rsidRDefault="00B241A7">
      <w:pPr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Be in class on time.</w:t>
      </w:r>
    </w:p>
    <w:p w:rsidR="00B241A7" w:rsidRDefault="00B241A7">
      <w:pPr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Have pencils, erasers, and a dark ink pen.  (Colored pencils are optional, but would </w:t>
      </w:r>
      <w:r w:rsidR="000A28AD">
        <w:rPr>
          <w:rFonts w:ascii="Georgia" w:hAnsi="Georgia"/>
          <w:sz w:val="24"/>
        </w:rPr>
        <w:t xml:space="preserve">not </w:t>
      </w:r>
      <w:bookmarkStart w:id="0" w:name="_GoBack"/>
      <w:bookmarkEnd w:id="0"/>
      <w:r>
        <w:rPr>
          <w:rFonts w:ascii="Georgia" w:hAnsi="Georgia"/>
          <w:sz w:val="24"/>
        </w:rPr>
        <w:t>be very helpful for drawing maps.)</w:t>
      </w:r>
    </w:p>
    <w:p w:rsidR="00B241A7" w:rsidRDefault="00B241A7">
      <w:pPr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Keep a course notebook for handouts, maps, quizzes, and tests.</w:t>
      </w:r>
    </w:p>
    <w:p w:rsidR="00B241A7" w:rsidRDefault="00B241A7">
      <w:pPr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Complete all tests and quizzes.</w:t>
      </w:r>
    </w:p>
    <w:p w:rsidR="00B241A7" w:rsidRDefault="00B241A7">
      <w:pPr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>And the big one:</w:t>
      </w:r>
      <w:r>
        <w:rPr>
          <w:rFonts w:ascii="Georgia" w:hAnsi="Georgia"/>
          <w:sz w:val="24"/>
        </w:rPr>
        <w:t xml:space="preserve"> Memorize the shape and/or location of countries, capitals </w:t>
      </w:r>
      <w:proofErr w:type="gramStart"/>
      <w:r>
        <w:rPr>
          <w:rFonts w:ascii="Georgia" w:hAnsi="Georgia"/>
          <w:sz w:val="24"/>
        </w:rPr>
        <w:t>and</w:t>
      </w:r>
      <w:proofErr w:type="gramEnd"/>
      <w:r>
        <w:rPr>
          <w:rFonts w:ascii="Georgia" w:hAnsi="Georgia"/>
          <w:sz w:val="24"/>
        </w:rPr>
        <w:t xml:space="preserve"> major cities, and major land forms (including oceans, seas, lakes, rivers, mountains and mountain ranges, plateaus, and deserts).</w:t>
      </w:r>
    </w:p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Grading:</w:t>
      </w:r>
    </w:p>
    <w:p w:rsidR="00B241A7" w:rsidRDefault="00B241A7">
      <w:pPr>
        <w:tabs>
          <w:tab w:val="left" w:pos="720"/>
          <w:tab w:val="right" w:pos="8640"/>
        </w:tabs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sz w:val="24"/>
        </w:rPr>
        <w:t>Current Events (Tuesday, Thursday)</w:t>
      </w:r>
      <w:r>
        <w:rPr>
          <w:rFonts w:ascii="Georgia" w:hAnsi="Georgia"/>
          <w:sz w:val="24"/>
        </w:rPr>
        <w:tab/>
        <w:t>25%</w:t>
      </w:r>
    </w:p>
    <w:p w:rsidR="00B241A7" w:rsidRDefault="00B241A7">
      <w:pPr>
        <w:tabs>
          <w:tab w:val="left" w:pos="720"/>
          <w:tab w:val="right" w:pos="8640"/>
        </w:tabs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sz w:val="24"/>
        </w:rPr>
        <w:t>Geography</w:t>
      </w:r>
    </w:p>
    <w:p w:rsidR="00B241A7" w:rsidRDefault="00B241A7">
      <w:pPr>
        <w:tabs>
          <w:tab w:val="left" w:pos="720"/>
          <w:tab w:val="left" w:pos="1080"/>
          <w:tab w:val="right" w:pos="7920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Class Attendance/Course Notebook</w:t>
      </w:r>
      <w:r>
        <w:rPr>
          <w:rFonts w:ascii="Georgia" w:hAnsi="Georgia"/>
          <w:sz w:val="24"/>
        </w:rPr>
        <w:tab/>
        <w:t>5%</w:t>
      </w:r>
    </w:p>
    <w:p w:rsidR="00B241A7" w:rsidRDefault="00B241A7">
      <w:pPr>
        <w:tabs>
          <w:tab w:val="left" w:pos="720"/>
          <w:tab w:val="left" w:pos="1080"/>
          <w:tab w:val="right" w:pos="7920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Quizzes and Tests on Countries, Capitals, and Major Cities</w:t>
      </w:r>
      <w:r>
        <w:rPr>
          <w:rFonts w:ascii="Georgia" w:hAnsi="Georgia"/>
          <w:sz w:val="24"/>
        </w:rPr>
        <w:tab/>
        <w:t>10%</w:t>
      </w:r>
    </w:p>
    <w:p w:rsidR="00B241A7" w:rsidRDefault="00B241A7">
      <w:pPr>
        <w:tabs>
          <w:tab w:val="left" w:pos="720"/>
          <w:tab w:val="left" w:pos="1080"/>
          <w:tab w:val="right" w:pos="7920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Quizzes and Tests on Physical Features</w:t>
      </w:r>
      <w:r>
        <w:rPr>
          <w:rFonts w:ascii="Georgia" w:hAnsi="Georgia"/>
          <w:sz w:val="24"/>
        </w:rPr>
        <w:tab/>
        <w:t>10%</w:t>
      </w:r>
    </w:p>
    <w:p w:rsidR="00B241A7" w:rsidRDefault="00B241A7">
      <w:pPr>
        <w:tabs>
          <w:tab w:val="left" w:pos="720"/>
          <w:tab w:val="left" w:pos="1080"/>
          <w:tab w:val="right" w:pos="7920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Daily Maps</w:t>
      </w:r>
      <w:r>
        <w:rPr>
          <w:rFonts w:ascii="Georgia" w:hAnsi="Georgia"/>
          <w:sz w:val="24"/>
        </w:rPr>
        <w:tab/>
        <w:t>15%</w:t>
      </w:r>
    </w:p>
    <w:p w:rsidR="00B241A7" w:rsidRDefault="00B241A7">
      <w:pPr>
        <w:tabs>
          <w:tab w:val="left" w:pos="720"/>
          <w:tab w:val="left" w:pos="1080"/>
          <w:tab w:val="right" w:pos="7920"/>
        </w:tabs>
        <w:rPr>
          <w:rFonts w:ascii="Georgia" w:hAnsi="Georgia"/>
          <w:sz w:val="24"/>
          <w:u w:val="single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proofErr w:type="spellStart"/>
      <w:r>
        <w:rPr>
          <w:rFonts w:ascii="Georgia" w:hAnsi="Georgia"/>
          <w:sz w:val="24"/>
          <w:u w:val="single"/>
        </w:rPr>
        <w:t>Equirectangular</w:t>
      </w:r>
      <w:proofErr w:type="spellEnd"/>
      <w:r>
        <w:rPr>
          <w:rFonts w:ascii="Georgia" w:hAnsi="Georgia"/>
          <w:sz w:val="24"/>
          <w:u w:val="single"/>
        </w:rPr>
        <w:t xml:space="preserve"> Projection Map</w:t>
      </w:r>
      <w:r>
        <w:rPr>
          <w:rFonts w:ascii="Georgia" w:hAnsi="Georgia"/>
          <w:sz w:val="24"/>
          <w:u w:val="single"/>
        </w:rPr>
        <w:tab/>
        <w:t>35%</w:t>
      </w:r>
    </w:p>
    <w:p w:rsidR="00B241A7" w:rsidRDefault="00B241A7">
      <w:pPr>
        <w:tabs>
          <w:tab w:val="left" w:pos="720"/>
          <w:tab w:val="left" w:pos="1080"/>
          <w:tab w:val="right" w:pos="8640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>Geography Total</w:t>
      </w:r>
      <w:r>
        <w:rPr>
          <w:rFonts w:ascii="Georgia" w:hAnsi="Georgia"/>
          <w:sz w:val="24"/>
        </w:rPr>
        <w:tab/>
        <w:t>75%</w:t>
      </w:r>
    </w:p>
    <w:p w:rsidR="00B241A7" w:rsidRDefault="00B241A7">
      <w:pPr>
        <w:rPr>
          <w:rFonts w:ascii="Georgia" w:hAnsi="Georgia"/>
          <w:b/>
          <w:sz w:val="24"/>
        </w:rPr>
      </w:pPr>
    </w:p>
    <w:p w:rsidR="00B241A7" w:rsidRDefault="00B241A7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Texts:</w:t>
      </w: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i/>
          <w:sz w:val="24"/>
        </w:rPr>
        <w:t>Mapping the World by Heart.</w:t>
      </w:r>
      <w:r>
        <w:rPr>
          <w:rFonts w:ascii="Georgia" w:hAnsi="Georgia"/>
          <w:sz w:val="24"/>
        </w:rPr>
        <w:t xml:space="preserve"> Smith</w:t>
      </w:r>
    </w:p>
    <w:p w:rsidR="00B241A7" w:rsidRDefault="00B241A7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i/>
          <w:sz w:val="24"/>
        </w:rPr>
        <w:t>Geographic Literacy, Third Edition</w:t>
      </w:r>
      <w:r>
        <w:rPr>
          <w:rFonts w:ascii="Georgia" w:hAnsi="Georgia"/>
          <w:sz w:val="24"/>
        </w:rPr>
        <w:t>. Davis</w:t>
      </w:r>
    </w:p>
    <w:p w:rsidR="00B241A7" w:rsidRDefault="00B241A7">
      <w:pPr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ab/>
        <w:t>Atlases</w:t>
      </w:r>
    </w:p>
    <w:p w:rsidR="00B241A7" w:rsidRDefault="00B241A7">
      <w:pPr>
        <w:rPr>
          <w:b/>
          <w:sz w:val="36"/>
        </w:rPr>
      </w:pPr>
      <w:r>
        <w:rPr>
          <w:b/>
          <w:sz w:val="36"/>
        </w:rPr>
        <w:lastRenderedPageBreak/>
        <w:t>Geography Class Calendar January – May 2007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B241A7"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</w:tcPr>
          <w:p w:rsidR="00B241A7" w:rsidRDefault="00B241A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</w:tcPr>
          <w:p w:rsidR="00B241A7" w:rsidRDefault="00B241A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</w:tcPr>
          <w:p w:rsidR="00B241A7" w:rsidRDefault="00B241A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</w:tcPr>
          <w:p w:rsidR="00B241A7" w:rsidRDefault="00B241A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</w:tcPr>
          <w:p w:rsidR="00B241A7" w:rsidRDefault="00B241A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B241A7">
        <w:tc>
          <w:tcPr>
            <w:tcW w:w="2160" w:type="dxa"/>
            <w:shd w:val="clear" w:color="auto" w:fill="C0C0C0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January </w:t>
            </w:r>
            <w:r>
              <w:rPr>
                <w:sz w:val="20"/>
              </w:rPr>
              <w:t>1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16"/>
              </w:rPr>
              <w:t>WT Orientation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B241A7" w:rsidRDefault="00B241A7">
            <w:pPr>
              <w:jc w:val="right"/>
              <w:rPr>
                <w:sz w:val="16"/>
              </w:rPr>
            </w:pPr>
            <w:r>
              <w:rPr>
                <w:sz w:val="20"/>
              </w:rPr>
              <w:t>FBCS Resumes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16"/>
              </w:rPr>
              <w:t>WT Classes Begin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(1)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Introduction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Projection Types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5 (2)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Latitude/Longitude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FBCS Last Day of Second Quarter</w:t>
            </w:r>
          </w:p>
        </w:tc>
      </w:tr>
      <w:tr w:rsidR="00B241A7"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8 (3)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USA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12:15 Dismissal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Report Cards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(4)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USA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(5)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USA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(6)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USA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(7)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Canada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(8)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Canada</w:t>
            </w:r>
          </w:p>
        </w:tc>
      </w:tr>
      <w:tr w:rsidR="00B241A7"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(9)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Canada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(10)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Canada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(11)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Central America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16"/>
              </w:rPr>
              <w:t>Sat 27 Colloquy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MJM Gone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(12)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Central America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(13)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Central America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February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(14)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Central America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16"/>
              </w:rPr>
              <w:t>Last Day WT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5 (15)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South America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7 (16)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South America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9 (17)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South America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(18)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South America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(19)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Americas Review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(20)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Americas Review</w:t>
            </w:r>
          </w:p>
        </w:tc>
      </w:tr>
      <w:tr w:rsidR="00B241A7"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(21)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Western Europe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Day of ST Classes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Parent-Teacher Fellowship 7:00 PM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(22)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Western Europe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(23)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Western Europe</w:t>
            </w:r>
          </w:p>
        </w:tc>
      </w:tr>
      <w:tr w:rsidR="00B241A7"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(24)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Western Europe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(25)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Eastern Europe and Northern Eurasia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March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(26)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Eastern Europe and Northern Eurasia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Sat 3 Pancake Breakfast</w:t>
            </w:r>
          </w:p>
        </w:tc>
      </w:tr>
      <w:tr w:rsidR="00B241A7">
        <w:trPr>
          <w:trHeight w:val="224"/>
        </w:trPr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5 (27)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Eastern Europe and Northern Eurasia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7 (28)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Eastern Europe and Northern Eurasia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9 (29)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Eastern Europe and Northern Eurasia</w:t>
            </w:r>
          </w:p>
        </w:tc>
      </w:tr>
      <w:tr w:rsidR="00B241A7"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(30)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Africa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(31)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Africa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(32)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Africa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FBCS Last Day of Third Quarter</w:t>
            </w:r>
          </w:p>
        </w:tc>
      </w:tr>
      <w:tr w:rsidR="00B241A7"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(33)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Africa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12:15 Dismissal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Report Cards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(34)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Africa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(35)</w:t>
            </w:r>
          </w:p>
          <w:p w:rsidR="00B3648D" w:rsidRDefault="00B3648D">
            <w:pPr>
              <w:jc w:val="right"/>
              <w:rPr>
                <w:sz w:val="20"/>
              </w:rPr>
            </w:pPr>
            <w:r>
              <w:rPr>
                <w:sz w:val="20"/>
              </w:rPr>
              <w:t>Asia: Southwest, South, Southeast</w:t>
            </w:r>
          </w:p>
          <w:p w:rsidR="00B241A7" w:rsidRDefault="00B241A7">
            <w:pPr>
              <w:jc w:val="right"/>
              <w:rPr>
                <w:sz w:val="16"/>
              </w:rPr>
            </w:pPr>
            <w:r>
              <w:rPr>
                <w:sz w:val="16"/>
              </w:rPr>
              <w:t>Mentoring Presentation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16"/>
              </w:rPr>
              <w:t>Fri 23-Sun 25 Open House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(36)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Asia: Southwest, South, Southeast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B241A7" w:rsidRDefault="00B241A7">
            <w:pPr>
              <w:jc w:val="right"/>
              <w:rPr>
                <w:sz w:val="18"/>
              </w:rPr>
            </w:pPr>
            <w:r>
              <w:rPr>
                <w:sz w:val="18"/>
              </w:rPr>
              <w:t>World Awareness Day 12:15 Dismissal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(37)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Asia: Southwest, South, Southeast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April</w:t>
            </w:r>
            <w:r>
              <w:rPr>
                <w:sz w:val="20"/>
              </w:rPr>
              <w:t xml:space="preserve"> 2 (38)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Asia: Southwest, South, Southeast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(39)</w:t>
            </w:r>
          </w:p>
          <w:p w:rsidR="00B241A7" w:rsidRDefault="00B3648D">
            <w:pPr>
              <w:jc w:val="right"/>
              <w:rPr>
                <w:sz w:val="20"/>
              </w:rPr>
            </w:pPr>
            <w:r>
              <w:rPr>
                <w:sz w:val="20"/>
              </w:rPr>
              <w:t>Asia: Southwest, South, Southeast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No School</w:t>
            </w:r>
          </w:p>
        </w:tc>
      </w:tr>
      <w:tr w:rsidR="00B241A7">
        <w:tc>
          <w:tcPr>
            <w:tcW w:w="2160" w:type="dxa"/>
            <w:shd w:val="clear" w:color="auto" w:fill="C0C0C0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No School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Achievement Tests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Achievement Tests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12:15 Dismissal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Achievement Tests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12:15 Dismissal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(40)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Asia: Southwest, South, Southeast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(41)</w:t>
            </w:r>
          </w:p>
          <w:p w:rsidR="00B241A7" w:rsidRDefault="00B3648D" w:rsidP="00B3648D">
            <w:pPr>
              <w:jc w:val="right"/>
              <w:rPr>
                <w:sz w:val="20"/>
              </w:rPr>
            </w:pPr>
            <w:r>
              <w:rPr>
                <w:sz w:val="20"/>
              </w:rPr>
              <w:t>Australia and Pacific Region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(42)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Australia and Pacific Region</w:t>
            </w:r>
          </w:p>
        </w:tc>
      </w:tr>
      <w:tr w:rsidR="00B241A7"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(43)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Australia and Pacific Region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(44)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Australia and Pacific Region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(45)</w:t>
            </w:r>
          </w:p>
          <w:p w:rsidR="00B3648D" w:rsidRDefault="00B3648D">
            <w:pPr>
              <w:jc w:val="right"/>
              <w:rPr>
                <w:sz w:val="20"/>
              </w:rPr>
            </w:pPr>
            <w:r>
              <w:rPr>
                <w:sz w:val="20"/>
              </w:rPr>
              <w:t>Final Map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FBCS Spring Program 7:30 PM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30 (46)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Final Map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May </w:t>
            </w: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(47)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Final Map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(48)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Final Map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7 (49)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Final Map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9 (50)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Final Map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Field Events 1-6 PM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(51)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Final Map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(52)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Final Map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12:15 Dismissal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(53)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12:15 Dismissal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Las Day of School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High School Graduation 7:00 PM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18"/>
              </w:rPr>
              <w:t>FBEP Commencement 7:00 PM</w:t>
            </w: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241A7" w:rsidRDefault="00B241A7">
            <w:pPr>
              <w:jc w:val="right"/>
              <w:rPr>
                <w:sz w:val="20"/>
              </w:rPr>
            </w:pPr>
          </w:p>
        </w:tc>
      </w:tr>
      <w:tr w:rsidR="00B241A7"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160" w:type="dxa"/>
          </w:tcPr>
          <w:p w:rsidR="00B241A7" w:rsidRDefault="00B241A7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June </w:t>
            </w:r>
            <w:r>
              <w:rPr>
                <w:sz w:val="20"/>
              </w:rPr>
              <w:t>1</w:t>
            </w:r>
          </w:p>
          <w:p w:rsidR="00B241A7" w:rsidRDefault="00B241A7">
            <w:pPr>
              <w:jc w:val="right"/>
              <w:rPr>
                <w:sz w:val="20"/>
              </w:rPr>
            </w:pPr>
            <w:r>
              <w:rPr>
                <w:sz w:val="20"/>
              </w:rPr>
              <w:t>Sat., 2: FBCS Auction</w:t>
            </w:r>
          </w:p>
        </w:tc>
      </w:tr>
    </w:tbl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sz w:val="24"/>
        </w:rPr>
      </w:pPr>
    </w:p>
    <w:p w:rsidR="00B241A7" w:rsidRDefault="00B241A7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Correspondence of Texts:</w:t>
      </w:r>
    </w:p>
    <w:p w:rsidR="00B241A7" w:rsidRDefault="00B241A7">
      <w:pPr>
        <w:rPr>
          <w:rFonts w:ascii="Georgia" w:hAnsi="Georgia"/>
          <w:b/>
          <w:sz w:val="24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4140"/>
        <w:gridCol w:w="4140"/>
      </w:tblGrid>
      <w:tr w:rsidR="00B241A7">
        <w:tc>
          <w:tcPr>
            <w:tcW w:w="2430" w:type="dxa"/>
            <w:shd w:val="pct25" w:color="000000" w:fill="FFFFFF"/>
          </w:tcPr>
          <w:p w:rsidR="00B241A7" w:rsidRDefault="00B241A7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Continent</w:t>
            </w:r>
          </w:p>
        </w:tc>
        <w:tc>
          <w:tcPr>
            <w:tcW w:w="4140" w:type="dxa"/>
            <w:shd w:val="pct25" w:color="000000" w:fill="FFFFFF"/>
          </w:tcPr>
          <w:p w:rsidR="00B241A7" w:rsidRDefault="00B241A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i/>
              </w:rPr>
              <w:t>Mapping the World By Heart</w:t>
            </w:r>
            <w:r>
              <w:rPr>
                <w:rFonts w:ascii="Georgia" w:hAnsi="Georgia"/>
                <w:b/>
              </w:rPr>
              <w:t xml:space="preserve"> Unit</w:t>
            </w:r>
          </w:p>
        </w:tc>
        <w:tc>
          <w:tcPr>
            <w:tcW w:w="4140" w:type="dxa"/>
            <w:shd w:val="pct25" w:color="000000" w:fill="FFFFFF"/>
          </w:tcPr>
          <w:p w:rsidR="00B241A7" w:rsidRDefault="00B241A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i/>
              </w:rPr>
              <w:t>Geographic Literacy</w:t>
            </w:r>
            <w:r>
              <w:rPr>
                <w:rFonts w:ascii="Georgia" w:hAnsi="Georgia"/>
                <w:i/>
              </w:rPr>
              <w:t xml:space="preserve"> </w:t>
            </w:r>
            <w:r>
              <w:rPr>
                <w:rFonts w:ascii="Georgia" w:hAnsi="Georgia"/>
                <w:b/>
              </w:rPr>
              <w:t>Unit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North America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the USA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Canada, the United States, and Greenland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North America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Canada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Canada, the United States, and Greenland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Central America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Central America (includes Brazil, Colombia, Guyana, Venezuela)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Latin America, Part I: Mexico, Central America, and the Caribbean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South America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South America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Latin America, Part II: South America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Europe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Europe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Western Europe; some overlap with Eastern Europe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Europe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Eastern Europe and Northern Asia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Eastern Europe</w:t>
            </w:r>
          </w:p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Northern Eurasia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Africa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Africa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Africa</w:t>
            </w:r>
          </w:p>
          <w:p w:rsidR="00B241A7" w:rsidRDefault="00B241A7">
            <w:pPr>
              <w:ind w:left="25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Part I: North Africa</w:t>
            </w:r>
          </w:p>
          <w:p w:rsidR="00B241A7" w:rsidRDefault="00B241A7">
            <w:pPr>
              <w:ind w:left="25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Part II: West Africa</w:t>
            </w:r>
          </w:p>
          <w:p w:rsidR="00B241A7" w:rsidRDefault="00B241A7">
            <w:pPr>
              <w:ind w:left="25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Part III: Central Africa</w:t>
            </w:r>
          </w:p>
          <w:p w:rsidR="00B241A7" w:rsidRDefault="00B241A7">
            <w:pPr>
              <w:ind w:left="252"/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Part IV: East Africa and Southern Africa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Asia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Asia: Southwest, South, Southeast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Southwest Asia</w:t>
            </w:r>
          </w:p>
          <w:p w:rsidR="00B241A7" w:rsidRDefault="00B241A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South Asia</w:t>
            </w:r>
          </w:p>
          <w:p w:rsidR="00B241A7" w:rsidRDefault="00B241A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Central and East Asia</w:t>
            </w:r>
          </w:p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Southeast Asia (except Indonesia)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Australia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Mapping Australia and Pacific Region (4/4)</w:t>
            </w: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Southeast Asia (Indonesia)</w:t>
            </w:r>
          </w:p>
          <w:p w:rsidR="00B241A7" w:rsidRDefault="00B241A7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24"/>
              </w:rPr>
              <w:t>Australia and Oceania</w:t>
            </w: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</w:p>
        </w:tc>
      </w:tr>
      <w:tr w:rsidR="00B241A7">
        <w:tc>
          <w:tcPr>
            <w:tcW w:w="2430" w:type="dxa"/>
          </w:tcPr>
          <w:p w:rsidR="00B241A7" w:rsidRDefault="00B241A7">
            <w:pPr>
              <w:rPr>
                <w:rFonts w:ascii="Georgia" w:hAnsi="Georgia"/>
              </w:rPr>
            </w:pP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</w:p>
        </w:tc>
        <w:tc>
          <w:tcPr>
            <w:tcW w:w="4140" w:type="dxa"/>
          </w:tcPr>
          <w:p w:rsidR="00B241A7" w:rsidRDefault="00B241A7">
            <w:pPr>
              <w:rPr>
                <w:rFonts w:ascii="Georgia" w:hAnsi="Georgia"/>
              </w:rPr>
            </w:pPr>
          </w:p>
        </w:tc>
      </w:tr>
    </w:tbl>
    <w:p w:rsidR="00B241A7" w:rsidRDefault="00B241A7">
      <w:pPr>
        <w:rPr>
          <w:rFonts w:ascii="Georgia" w:hAnsi="Georgia"/>
          <w:sz w:val="24"/>
        </w:rPr>
      </w:pPr>
    </w:p>
    <w:sectPr w:rsidR="00B241A7">
      <w:pgSz w:w="12240" w:h="15840"/>
      <w:pgMar w:top="117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2179"/>
    <w:multiLevelType w:val="singleLevel"/>
    <w:tmpl w:val="CFC8A7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47E4E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24A7E62"/>
    <w:multiLevelType w:val="singleLevel"/>
    <w:tmpl w:val="70422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20210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1"/>
    <w:rsid w:val="000A28AD"/>
    <w:rsid w:val="001243B1"/>
    <w:rsid w:val="004D60FC"/>
    <w:rsid w:val="00B241A7"/>
    <w:rsid w:val="00B3648D"/>
    <w:rsid w:val="00C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2262"/>
  <w15:chartTrackingRefBased/>
  <w15:docId w15:val="{A83FBA67-773F-4BDA-9DE3-FAA0B74B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eorgia" w:hAnsi="Georgi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thewm@fbe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3DFD-6CFF-4C08-9CCC-C3A6DDD3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846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Geography Syllabus</vt:lpstr>
    </vt:vector>
  </TitlesOfParts>
  <Company> </Company>
  <LinksUpToDate>false</LinksUpToDate>
  <CharactersWithSpaces>5221</CharactersWithSpaces>
  <SharedDoc>false</SharedDoc>
  <HLinks>
    <vt:vector size="6" baseType="variant"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mailto:matthewm@fbep.org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Syllabus</dc:title>
  <dc:subject/>
  <dc:creator>Matthew Mast</dc:creator>
  <cp:keywords/>
  <dc:description/>
  <cp:lastModifiedBy>Yvonne Yoder</cp:lastModifiedBy>
  <cp:revision>3</cp:revision>
  <dcterms:created xsi:type="dcterms:W3CDTF">2018-01-25T19:54:00Z</dcterms:created>
  <dcterms:modified xsi:type="dcterms:W3CDTF">2018-01-30T18:21:00Z</dcterms:modified>
</cp:coreProperties>
</file>