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45: The Holiness Movement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The Second Great Awakening led _____, in particular, to seek greater holiness. 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Presbyterians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Methodists 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Mennonites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Puritans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Wesley’s teaching of Christian perfection is also called _____. 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the second wor</w:t>
      </w:r>
      <w:r>
        <w:rPr>
          <w:rFonts w:ascii="TimesNewRomanPSMT" w:hAnsi="TimesNewRomanPSMT" w:cs="TimesNewRomanPSMT"/>
          <w:sz w:val="24"/>
          <w:szCs w:val="24"/>
        </w:rPr>
        <w:t>k of salvation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baptism of the Trinity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entire sanctification</w:t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End"/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The holiness movement includes _____.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many groups that split from other denominations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the Wesleyan Church</w:t>
      </w:r>
    </w:p>
    <w:p w:rsidR="00F54C07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the Church of the Nazarene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Holiness churches today _____. </w:t>
      </w:r>
    </w:p>
    <w:p w:rsidR="00F54C07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have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reunited with the Methodist Church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reject Wesley’s teaching of Christian perfection</w:t>
      </w:r>
    </w:p>
    <w:p w:rsidR="00F54C07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not necessarily emphasize the doctrine of Christian perfection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have become s</w:t>
      </w:r>
      <w:r>
        <w:rPr>
          <w:rFonts w:ascii="TimesNewRomanPSMT" w:hAnsi="TimesNewRomanPSMT" w:cs="TimesNewRomanPSMT"/>
          <w:sz w:val="24"/>
          <w:szCs w:val="24"/>
        </w:rPr>
        <w:t>mall and insignificant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F54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F9"/>
    <w:rsid w:val="00D925F9"/>
    <w:rsid w:val="00F5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DF4EF"/>
  <w14:defaultImageDpi w14:val="0"/>
  <w15:docId w15:val="{D955CE40-D8B8-4275-AD41-6A796C1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2017-11-30T20:17:00Z</dcterms:created>
  <dcterms:modified xsi:type="dcterms:W3CDTF">2017-11-30T20:18:00Z</dcterms:modified>
</cp:coreProperties>
</file>