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Church History Outline 39: The </w:t>
      </w: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Martyrs’ Mirror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and 18th Century American Anabaptism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The _______________________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Full title: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The Bloody Theater or Martyrs’ Mirror of the </w:t>
      </w:r>
      <w:r>
        <w:rPr>
          <w:rFonts w:ascii="TimesNewRomanPSMT" w:hAnsi="TimesNewRomanPSMT" w:cs="TimesNewRomanPSMT"/>
          <w:sz w:val="24"/>
          <w:szCs w:val="24"/>
        </w:rPr>
        <w:t>_______________________________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  <w:t xml:space="preserve">who 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______________________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only on </w:t>
      </w:r>
      <w:r>
        <w:rPr>
          <w:rFonts w:ascii="TimesNewRomanPSMT" w:hAnsi="TimesNewRomanPSMT" w:cs="TimesNewRomanPSMT"/>
          <w:sz w:val="24"/>
          <w:szCs w:val="24"/>
        </w:rPr>
        <w:t>______________________________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, and who </w:t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suffered and died for the testimony of Jesus, their Saviour, from the </w:t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i/>
          <w:i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_________________________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to the year 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_______________________. 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Written by __________________________ Tieleman Jansz van Braght and based</w:t>
      </w:r>
      <w:r>
        <w:rPr>
          <w:rFonts w:ascii="TimesNewRomanPSMT" w:hAnsi="TimesNewRomanPSMT" w:cs="TimesNewRomanPSMT"/>
          <w:sz w:val="24"/>
          <w:szCs w:val="24"/>
        </w:rPr>
        <w:t xml:space="preserve"> on earlier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book of martyr stories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Mennonites and ____________________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Mennonites lived in close contact with many other ____________________ settlers, many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whom were Pietists.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Pietism both ____________________ traditional Mennonite emp</w:t>
      </w:r>
      <w:r>
        <w:rPr>
          <w:rFonts w:ascii="TimesNewRomanPSMT" w:hAnsi="TimesNewRomanPSMT" w:cs="TimesNewRomanPSMT"/>
          <w:sz w:val="24"/>
          <w:szCs w:val="24"/>
        </w:rPr>
        <w:t xml:space="preserve">hases and influenced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Mennonites to adopt ____________________.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Like Pietists, Mennonites placed great importance on a personal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and consistent ____________________.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Pietists, however, often emphasized very _____________</w:t>
      </w:r>
      <w:r>
        <w:rPr>
          <w:rFonts w:ascii="TimesNewRomanPSMT" w:hAnsi="TimesNewRomanPSMT" w:cs="TimesNewRomanPSMT"/>
          <w:sz w:val="24"/>
          <w:szCs w:val="24"/>
        </w:rPr>
        <w:t xml:space="preserve">_______ religious experiences,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such as a definite ____________________ of conversion, and were often more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than Mennonites.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In some cases, Pietist ideas led to ____________________ among Mennonites.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Mennonites and _____</w:t>
      </w:r>
      <w:r>
        <w:rPr>
          <w:rFonts w:ascii="TimesNewRomanPSMT" w:hAnsi="TimesNewRomanPSMT" w:cs="TimesNewRomanPSMT"/>
          <w:sz w:val="24"/>
          <w:szCs w:val="24"/>
        </w:rPr>
        <w:t>_______________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Living in peace and working hard, Mennonites became well-known for their __________________.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Traditional Anabaptist teachings about ____________________ began to seem irrelevant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these circumstances, and were replaced with an e</w:t>
      </w:r>
      <w:r>
        <w:rPr>
          <w:rFonts w:ascii="TimesNewRomanPSMT" w:hAnsi="TimesNewRomanPSMT" w:cs="TimesNewRomanPSMT"/>
          <w:sz w:val="24"/>
          <w:szCs w:val="24"/>
        </w:rPr>
        <w:t xml:space="preserve">mphasis on ____________________.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IV. Mennonites and ____________________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American ____________________ created new problems for Mennonites.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Who are the ____________________ rulers?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How should nonresistant Christians 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to a society at war?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Will religious ____________________ be threatened by changes in government?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____________________, in particular, were often hostile to Mennonites who tried to remain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E6673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C. As the Revolution ended and a</w:t>
      </w:r>
      <w:r>
        <w:rPr>
          <w:rFonts w:ascii="TimesNewRomanPSMT" w:hAnsi="TimesNewRomanPSMT" w:cs="TimesNewRomanPSMT"/>
          <w:sz w:val="24"/>
          <w:szCs w:val="24"/>
        </w:rPr>
        <w:t xml:space="preserve"> new government was established, Mennonites were able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____________________ living much as they had before. </w:t>
      </w:r>
    </w:p>
    <w:sectPr w:rsidR="00000000">
      <w:pgSz w:w="12240" w:h="15840"/>
      <w:pgMar w:top="576" w:right="864" w:bottom="576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9"/>
    <w:rsid w:val="00855B69"/>
    <w:rsid w:val="00E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499C6"/>
  <w14:defaultImageDpi w14:val="0"/>
  <w15:docId w15:val="{8B0CBB1D-ECD4-4633-8D8A-DEEA0778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2017-11-30T17:47:00Z</dcterms:created>
  <dcterms:modified xsi:type="dcterms:W3CDTF">2017-11-30T17:48:00Z</dcterms:modified>
</cp:coreProperties>
</file>