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</w:rPr>
        <w:t>Church History Quiz 29c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List three distinctive characteristics shared by at least two early German Anabaptist leaders. Note: Being German and Anabaptist don’t count. </w:t>
      </w: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29c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List three distinctive characteristics shared </w:t>
      </w:r>
      <w:r>
        <w:rPr>
          <w:rFonts w:ascii="TimesNewRomanPSMT" w:hAnsi="TimesNewRomanPSMT" w:cs="TimesNewRomanPSMT"/>
        </w:rPr>
        <w:t xml:space="preserve">by at least two early German Anabaptist leaders. Note: Being German and Anabaptist don’t count. </w:t>
      </w: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9322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lastRenderedPageBreak/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EB"/>
    <w:rsid w:val="0093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0F5CF88-F4C7-4CDB-9EE8-0625DA7B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2017-11-30T17:26:00Z</dcterms:created>
  <dcterms:modified xsi:type="dcterms:W3CDTF">2017-11-30T17:26:00Z</dcterms:modified>
</cp:coreProperties>
</file>