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898" w:rsidRPr="00792898" w:rsidRDefault="00792898">
      <w:pPr>
        <w:rPr>
          <w:b/>
          <w:sz w:val="24"/>
          <w:u w:val="single"/>
        </w:rPr>
      </w:pPr>
      <w:r w:rsidRPr="00792898">
        <w:rPr>
          <w:noProof/>
        </w:rPr>
        <w:drawing>
          <wp:anchor distT="0" distB="0" distL="114300" distR="114300" simplePos="0" relativeHeight="251658240" behindDoc="1" locked="0" layoutInCell="1" allowOverlap="1" wp14:anchorId="35C043FE" wp14:editId="2BFD3D25">
            <wp:simplePos x="0" y="0"/>
            <wp:positionH relativeFrom="column">
              <wp:posOffset>4391025</wp:posOffset>
            </wp:positionH>
            <wp:positionV relativeFrom="paragraph">
              <wp:posOffset>-116205</wp:posOffset>
            </wp:positionV>
            <wp:extent cx="2533650" cy="4943475"/>
            <wp:effectExtent l="0" t="0" r="0" b="9525"/>
            <wp:wrapNone/>
            <wp:docPr id="1" name="Picture 1" descr="http://upload.wikimedia.org/wikipedia/commons/e/eb/Woman_And_The_New_R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e/eb/Woman_And_The_New_Rac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33650" cy="494347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u w:val="single"/>
        </w:rPr>
        <w:t>Margaret Sa</w:t>
      </w:r>
      <w:r w:rsidRPr="00792898">
        <w:rPr>
          <w:b/>
          <w:sz w:val="24"/>
          <w:u w:val="single"/>
        </w:rPr>
        <w:t>nger:</w:t>
      </w:r>
    </w:p>
    <w:p w:rsidR="00792898" w:rsidRDefault="00792898">
      <w:r w:rsidRPr="00792898">
        <w:rPr>
          <w:rFonts w:ascii="Arial" w:hAnsi="Arial" w:cs="Arial"/>
          <w:sz w:val="21"/>
          <w:szCs w:val="21"/>
          <w:shd w:val="clear" w:color="auto" w:fill="FFFFFF"/>
        </w:rPr>
        <w:t>As part of her efforts to promote birth control, Sanger found common cause with proponents of eugenics, believing that they both sought to "assist the race toward the elimination of the unfit."</w:t>
      </w:r>
      <w:hyperlink r:id="rId6" w:anchor="cite_note-92" w:history="1">
        <w:r w:rsidRPr="00792898">
          <w:rPr>
            <w:rStyle w:val="Hyperlink"/>
            <w:rFonts w:ascii="Arial" w:hAnsi="Arial" w:cs="Arial"/>
            <w:color w:val="auto"/>
            <w:sz w:val="17"/>
            <w:szCs w:val="17"/>
            <w:u w:val="none"/>
            <w:shd w:val="clear" w:color="auto" w:fill="FFFFFF"/>
            <w:vertAlign w:val="superscript"/>
          </w:rPr>
          <w:t>[84]</w:t>
        </w:r>
      </w:hyperlink>
      <w:r w:rsidRPr="00792898">
        <w:rPr>
          <w:rStyle w:val="apple-converted-space"/>
          <w:rFonts w:ascii="Arial" w:hAnsi="Arial" w:cs="Arial"/>
          <w:sz w:val="21"/>
          <w:szCs w:val="21"/>
          <w:shd w:val="clear" w:color="auto" w:fill="FFFFFF"/>
        </w:rPr>
        <w:t> </w:t>
      </w:r>
      <w:r w:rsidRPr="00792898">
        <w:rPr>
          <w:rFonts w:ascii="Arial" w:hAnsi="Arial" w:cs="Arial"/>
          <w:sz w:val="21"/>
          <w:szCs w:val="21"/>
          <w:shd w:val="clear" w:color="auto" w:fill="FFFFFF"/>
        </w:rPr>
        <w:t xml:space="preserve">Sanger was a </w:t>
      </w:r>
      <w:bookmarkStart w:id="0" w:name="_GoBack"/>
      <w:bookmarkEnd w:id="0"/>
      <w:r w:rsidRPr="00792898">
        <w:rPr>
          <w:rFonts w:ascii="Arial" w:hAnsi="Arial" w:cs="Arial"/>
          <w:sz w:val="21"/>
          <w:szCs w:val="21"/>
          <w:shd w:val="clear" w:color="auto" w:fill="FFFFFF"/>
        </w:rPr>
        <w:t>proponent of negative eugenics, which aims to improve human hereditary traits through social intervention by reducing the reproduction of those who were considered unfit.</w:t>
      </w:r>
      <w:hyperlink r:id="rId7" w:anchor="cite_note-chesterton.org-93" w:history="1">
        <w:r w:rsidRPr="00792898">
          <w:rPr>
            <w:rStyle w:val="Hyperlink"/>
            <w:rFonts w:ascii="Arial" w:hAnsi="Arial" w:cs="Arial"/>
            <w:color w:val="auto"/>
            <w:sz w:val="17"/>
            <w:szCs w:val="17"/>
            <w:u w:val="none"/>
            <w:shd w:val="clear" w:color="auto" w:fill="FFFFFF"/>
            <w:vertAlign w:val="superscript"/>
          </w:rPr>
          <w:t>[85]</w:t>
        </w:r>
      </w:hyperlink>
      <w:r w:rsidRPr="00792898">
        <w:rPr>
          <w:rStyle w:val="apple-converted-space"/>
          <w:rFonts w:ascii="Arial" w:hAnsi="Arial" w:cs="Arial"/>
          <w:sz w:val="21"/>
          <w:szCs w:val="21"/>
          <w:shd w:val="clear" w:color="auto" w:fill="FFFFFF"/>
        </w:rPr>
        <w:t> </w:t>
      </w:r>
      <w:r w:rsidRPr="00792898">
        <w:rPr>
          <w:rFonts w:ascii="Arial" w:hAnsi="Arial" w:cs="Arial"/>
          <w:sz w:val="21"/>
          <w:szCs w:val="21"/>
          <w:shd w:val="clear" w:color="auto" w:fill="FFFFFF"/>
        </w:rPr>
        <w:t>Sanger's eugenic policies included an exclusionary immigration policy, free access to birth control methods and full</w:t>
      </w:r>
      <w:r w:rsidRPr="00792898">
        <w:rPr>
          <w:rStyle w:val="apple-converted-space"/>
          <w:rFonts w:ascii="Arial" w:hAnsi="Arial" w:cs="Arial"/>
          <w:sz w:val="21"/>
          <w:szCs w:val="21"/>
          <w:shd w:val="clear" w:color="auto" w:fill="FFFFFF"/>
        </w:rPr>
        <w:t> </w:t>
      </w:r>
      <w:hyperlink r:id="rId8" w:tooltip="Family planning" w:history="1">
        <w:r w:rsidRPr="00792898">
          <w:rPr>
            <w:rStyle w:val="Hyperlink"/>
            <w:rFonts w:ascii="Arial" w:hAnsi="Arial" w:cs="Arial"/>
            <w:color w:val="auto"/>
            <w:sz w:val="21"/>
            <w:szCs w:val="21"/>
            <w:u w:val="none"/>
            <w:shd w:val="clear" w:color="auto" w:fill="FFFFFF"/>
          </w:rPr>
          <w:t>family planning</w:t>
        </w:r>
      </w:hyperlink>
      <w:r w:rsidRPr="00792898">
        <w:rPr>
          <w:rStyle w:val="apple-converted-space"/>
          <w:rFonts w:ascii="Arial" w:hAnsi="Arial" w:cs="Arial"/>
          <w:sz w:val="21"/>
          <w:szCs w:val="21"/>
          <w:shd w:val="clear" w:color="auto" w:fill="FFFFFF"/>
        </w:rPr>
        <w:t> </w:t>
      </w:r>
      <w:r w:rsidRPr="00792898">
        <w:rPr>
          <w:rFonts w:ascii="Arial" w:hAnsi="Arial" w:cs="Arial"/>
          <w:sz w:val="21"/>
          <w:szCs w:val="21"/>
          <w:shd w:val="clear" w:color="auto" w:fill="FFFFFF"/>
        </w:rPr>
        <w:t xml:space="preserve">autonomy for the </w:t>
      </w:r>
      <w:proofErr w:type="gramStart"/>
      <w:r w:rsidRPr="00792898">
        <w:rPr>
          <w:rFonts w:ascii="Arial" w:hAnsi="Arial" w:cs="Arial"/>
          <w:sz w:val="21"/>
          <w:szCs w:val="21"/>
          <w:shd w:val="clear" w:color="auto" w:fill="FFFFFF"/>
        </w:rPr>
        <w:t>able-minded,</w:t>
      </w:r>
      <w:proofErr w:type="gramEnd"/>
      <w:r w:rsidRPr="00792898">
        <w:rPr>
          <w:rFonts w:ascii="Arial" w:hAnsi="Arial" w:cs="Arial"/>
          <w:sz w:val="21"/>
          <w:szCs w:val="21"/>
          <w:shd w:val="clear" w:color="auto" w:fill="FFFFFF"/>
        </w:rPr>
        <w:t xml:space="preserve"> and compulsory segregation or sterilization for the profoundly retarded.</w:t>
      </w:r>
      <w:hyperlink r:id="rId9" w:anchor="cite_note-Porter.2C_Nicole_S..3B_Bothne_Nancy.3B_Leonard.2C_Jason_126-94" w:history="1">
        <w:r w:rsidRPr="00792898">
          <w:rPr>
            <w:rStyle w:val="Hyperlink"/>
            <w:rFonts w:ascii="Arial" w:hAnsi="Arial" w:cs="Arial"/>
            <w:color w:val="auto"/>
            <w:sz w:val="17"/>
            <w:szCs w:val="17"/>
            <w:u w:val="none"/>
            <w:shd w:val="clear" w:color="auto" w:fill="FFFFFF"/>
            <w:vertAlign w:val="superscript"/>
          </w:rPr>
          <w:t>[86</w:t>
        </w:r>
        <w:proofErr w:type="gramStart"/>
        <w:r w:rsidRPr="00792898">
          <w:rPr>
            <w:rStyle w:val="Hyperlink"/>
            <w:rFonts w:ascii="Arial" w:hAnsi="Arial" w:cs="Arial"/>
            <w:color w:val="auto"/>
            <w:sz w:val="17"/>
            <w:szCs w:val="17"/>
            <w:u w:val="none"/>
            <w:shd w:val="clear" w:color="auto" w:fill="FFFFFF"/>
            <w:vertAlign w:val="superscript"/>
          </w:rPr>
          <w:t>]</w:t>
        </w:r>
        <w:proofErr w:type="gramEnd"/>
      </w:hyperlink>
      <w:hyperlink r:id="rId10" w:anchor="cite_note-HitlerEquation-95" w:history="1">
        <w:r w:rsidRPr="00792898">
          <w:rPr>
            <w:rStyle w:val="Hyperlink"/>
            <w:rFonts w:ascii="Arial" w:hAnsi="Arial" w:cs="Arial"/>
            <w:color w:val="auto"/>
            <w:sz w:val="17"/>
            <w:szCs w:val="17"/>
            <w:u w:val="none"/>
            <w:shd w:val="clear" w:color="auto" w:fill="FFFFFF"/>
            <w:vertAlign w:val="superscript"/>
          </w:rPr>
          <w:t>[87]</w:t>
        </w:r>
      </w:hyperlink>
      <w:r w:rsidRPr="00792898">
        <w:rPr>
          <w:rStyle w:val="apple-converted-space"/>
          <w:rFonts w:ascii="Arial" w:hAnsi="Arial" w:cs="Arial"/>
          <w:sz w:val="21"/>
          <w:szCs w:val="21"/>
          <w:shd w:val="clear" w:color="auto" w:fill="FFFFFF"/>
        </w:rPr>
        <w:t> </w:t>
      </w:r>
      <w:r w:rsidRPr="00792898">
        <w:rPr>
          <w:rFonts w:ascii="Arial" w:hAnsi="Arial" w:cs="Arial"/>
          <w:sz w:val="21"/>
          <w:szCs w:val="21"/>
          <w:shd w:val="clear" w:color="auto" w:fill="FFFFFF"/>
        </w:rPr>
        <w:t>In her book</w:t>
      </w:r>
      <w:r w:rsidRPr="00792898">
        <w:rPr>
          <w:rStyle w:val="apple-converted-space"/>
          <w:rFonts w:ascii="Arial" w:hAnsi="Arial" w:cs="Arial"/>
          <w:sz w:val="21"/>
          <w:szCs w:val="21"/>
          <w:shd w:val="clear" w:color="auto" w:fill="FFFFFF"/>
        </w:rPr>
        <w:t> </w:t>
      </w:r>
      <w:r w:rsidRPr="00792898">
        <w:rPr>
          <w:rFonts w:ascii="Arial" w:hAnsi="Arial" w:cs="Arial"/>
          <w:i/>
          <w:iCs/>
          <w:sz w:val="21"/>
          <w:szCs w:val="21"/>
          <w:shd w:val="clear" w:color="auto" w:fill="FFFFFF"/>
        </w:rPr>
        <w:t>The Pivot of Civilization</w:t>
      </w:r>
      <w:r w:rsidRPr="00792898">
        <w:rPr>
          <w:rFonts w:ascii="Arial" w:hAnsi="Arial" w:cs="Arial"/>
          <w:sz w:val="21"/>
          <w:szCs w:val="21"/>
          <w:shd w:val="clear" w:color="auto" w:fill="FFFFFF"/>
        </w:rPr>
        <w:t>, she advocated coercion to prevent the "undeniably feeble-minded" from procreating.</w:t>
      </w:r>
      <w:hyperlink r:id="rId11" w:anchor="cite_note-96" w:history="1">
        <w:r w:rsidRPr="00792898">
          <w:rPr>
            <w:rStyle w:val="Hyperlink"/>
            <w:rFonts w:ascii="Arial" w:hAnsi="Arial" w:cs="Arial"/>
            <w:color w:val="auto"/>
            <w:sz w:val="17"/>
            <w:szCs w:val="17"/>
            <w:u w:val="none"/>
            <w:shd w:val="clear" w:color="auto" w:fill="FFFFFF"/>
            <w:vertAlign w:val="superscript"/>
          </w:rPr>
          <w:t>[88]</w:t>
        </w:r>
      </w:hyperlink>
      <w:r w:rsidRPr="00792898">
        <w:rPr>
          <w:rStyle w:val="apple-converted-space"/>
          <w:rFonts w:ascii="Arial" w:hAnsi="Arial" w:cs="Arial"/>
          <w:sz w:val="21"/>
          <w:szCs w:val="21"/>
          <w:shd w:val="clear" w:color="auto" w:fill="FFFFFF"/>
        </w:rPr>
        <w:t> </w:t>
      </w:r>
      <w:r w:rsidRPr="00792898">
        <w:rPr>
          <w:rFonts w:ascii="Arial" w:hAnsi="Arial" w:cs="Arial"/>
          <w:sz w:val="21"/>
          <w:szCs w:val="21"/>
          <w:shd w:val="clear" w:color="auto" w:fill="FFFFFF"/>
        </w:rPr>
        <w:t>Although Sanger supported negative eugenics, she asserted that eugenics alone was not sufficient, and that birth control was essential to achieve her goals.</w:t>
      </w:r>
      <w:hyperlink r:id="rId12" w:anchor="cite_note-Betterment-97" w:history="1">
        <w:r w:rsidRPr="00792898">
          <w:rPr>
            <w:rStyle w:val="Hyperlink"/>
            <w:rFonts w:ascii="Arial" w:hAnsi="Arial" w:cs="Arial"/>
            <w:color w:val="auto"/>
            <w:sz w:val="17"/>
            <w:szCs w:val="17"/>
            <w:u w:val="none"/>
            <w:shd w:val="clear" w:color="auto" w:fill="FFFFFF"/>
            <w:vertAlign w:val="superscript"/>
          </w:rPr>
          <w:t>[89</w:t>
        </w:r>
        <w:proofErr w:type="gramStart"/>
        <w:r w:rsidRPr="00792898">
          <w:rPr>
            <w:rStyle w:val="Hyperlink"/>
            <w:rFonts w:ascii="Arial" w:hAnsi="Arial" w:cs="Arial"/>
            <w:color w:val="auto"/>
            <w:sz w:val="17"/>
            <w:szCs w:val="17"/>
            <w:u w:val="none"/>
            <w:shd w:val="clear" w:color="auto" w:fill="FFFFFF"/>
            <w:vertAlign w:val="superscript"/>
          </w:rPr>
          <w:t>]</w:t>
        </w:r>
        <w:proofErr w:type="gramEnd"/>
      </w:hyperlink>
      <w:hyperlink r:id="rId13" w:anchor="cite_note-EugenicLegacy-98" w:history="1">
        <w:r w:rsidRPr="00792898">
          <w:rPr>
            <w:rStyle w:val="Hyperlink"/>
            <w:rFonts w:ascii="Arial" w:hAnsi="Arial" w:cs="Arial"/>
            <w:color w:val="auto"/>
            <w:sz w:val="17"/>
            <w:szCs w:val="17"/>
            <w:u w:val="none"/>
            <w:shd w:val="clear" w:color="auto" w:fill="FFFFFF"/>
            <w:vertAlign w:val="superscript"/>
          </w:rPr>
          <w:t>[90]</w:t>
        </w:r>
      </w:hyperlink>
      <w:hyperlink r:id="rId14" w:anchor="cite_note-EssentialFeminist-99" w:history="1">
        <w:r w:rsidRPr="00792898">
          <w:rPr>
            <w:rStyle w:val="Hyperlink"/>
            <w:rFonts w:ascii="Arial" w:hAnsi="Arial" w:cs="Arial"/>
            <w:color w:val="auto"/>
            <w:sz w:val="17"/>
            <w:szCs w:val="17"/>
            <w:u w:val="none"/>
            <w:shd w:val="clear" w:color="auto" w:fill="FFFFFF"/>
            <w:vertAlign w:val="superscript"/>
          </w:rPr>
          <w:t>[91]</w:t>
        </w:r>
      </w:hyperlink>
    </w:p>
    <w:p w:rsidR="00792898" w:rsidRDefault="00792898" w:rsidP="00792898"/>
    <w:p w:rsidR="00792898" w:rsidRPr="00792898" w:rsidRDefault="00792898" w:rsidP="00792898">
      <w:pPr>
        <w:rPr>
          <w:b/>
          <w:sz w:val="24"/>
          <w:u w:val="single"/>
        </w:rPr>
      </w:pPr>
      <w:r w:rsidRPr="00792898">
        <w:rPr>
          <w:b/>
          <w:sz w:val="24"/>
          <w:u w:val="single"/>
        </w:rPr>
        <w:t>Peter Singer:</w:t>
      </w:r>
    </w:p>
    <w:p w:rsidR="00792898" w:rsidRPr="00792898" w:rsidRDefault="00792898" w:rsidP="00603539">
      <w:pPr>
        <w:pBdr>
          <w:bottom w:val="single" w:sz="6" w:space="0" w:color="AAAAAA"/>
        </w:pBdr>
        <w:shd w:val="clear" w:color="auto" w:fill="FFFFFF"/>
        <w:spacing w:before="100" w:beforeAutospacing="1" w:after="100" w:afterAutospacing="1" w:line="240" w:lineRule="auto"/>
        <w:outlineLvl w:val="1"/>
        <w:rPr>
          <w:rFonts w:ascii="Georgia" w:eastAsia="Times New Roman" w:hAnsi="Georgia" w:cs="Times New Roman"/>
          <w:sz w:val="20"/>
          <w:szCs w:val="36"/>
        </w:rPr>
      </w:pPr>
      <w:r w:rsidRPr="00792898">
        <w:rPr>
          <w:rFonts w:ascii="Georgia" w:eastAsia="Times New Roman" w:hAnsi="Georgia" w:cs="Times New Roman"/>
          <w:i/>
          <w:iCs/>
          <w:sz w:val="20"/>
          <w:szCs w:val="36"/>
        </w:rPr>
        <w:t xml:space="preserve">Animal </w:t>
      </w:r>
      <w:proofErr w:type="gramStart"/>
      <w:r w:rsidRPr="00792898">
        <w:rPr>
          <w:rFonts w:ascii="Georgia" w:eastAsia="Times New Roman" w:hAnsi="Georgia" w:cs="Times New Roman"/>
          <w:i/>
          <w:iCs/>
          <w:sz w:val="20"/>
          <w:szCs w:val="36"/>
        </w:rPr>
        <w:t>Liberation</w:t>
      </w:r>
      <w:r w:rsidRPr="00792898">
        <w:rPr>
          <w:rFonts w:ascii="Arial" w:eastAsia="Times New Roman" w:hAnsi="Arial" w:cs="Arial"/>
          <w:sz w:val="14"/>
          <w:szCs w:val="24"/>
        </w:rPr>
        <w:t>[</w:t>
      </w:r>
      <w:proofErr w:type="gramEnd"/>
      <w:r w:rsidRPr="00792898">
        <w:rPr>
          <w:rFonts w:ascii="Arial" w:eastAsia="Times New Roman" w:hAnsi="Arial" w:cs="Arial"/>
          <w:sz w:val="14"/>
          <w:szCs w:val="24"/>
        </w:rPr>
        <w:fldChar w:fldCharType="begin"/>
      </w:r>
      <w:r w:rsidRPr="00792898">
        <w:rPr>
          <w:rFonts w:ascii="Arial" w:eastAsia="Times New Roman" w:hAnsi="Arial" w:cs="Arial"/>
          <w:sz w:val="14"/>
          <w:szCs w:val="24"/>
        </w:rPr>
        <w:instrText xml:space="preserve"> HYPERLINK "http://en.wikipedia.org/w/index.php?title=Peter_Singer&amp;action=edit&amp;section=2&amp;editintro=Template:BLP_editintro" \o "Edit section: Animal Liberation" </w:instrText>
      </w:r>
      <w:r w:rsidRPr="00792898">
        <w:rPr>
          <w:rFonts w:ascii="Arial" w:eastAsia="Times New Roman" w:hAnsi="Arial" w:cs="Arial"/>
          <w:sz w:val="14"/>
          <w:szCs w:val="24"/>
        </w:rPr>
        <w:fldChar w:fldCharType="separate"/>
      </w:r>
      <w:r w:rsidRPr="00792898">
        <w:rPr>
          <w:rFonts w:ascii="Arial" w:eastAsia="Times New Roman" w:hAnsi="Arial" w:cs="Arial"/>
          <w:sz w:val="14"/>
          <w:szCs w:val="24"/>
        </w:rPr>
        <w:t>edit</w:t>
      </w:r>
      <w:r w:rsidRPr="00792898">
        <w:rPr>
          <w:rFonts w:ascii="Arial" w:eastAsia="Times New Roman" w:hAnsi="Arial" w:cs="Arial"/>
          <w:sz w:val="14"/>
          <w:szCs w:val="24"/>
        </w:rPr>
        <w:fldChar w:fldCharType="end"/>
      </w:r>
      <w:r w:rsidRPr="00792898">
        <w:rPr>
          <w:rFonts w:ascii="Arial" w:eastAsia="Times New Roman" w:hAnsi="Arial" w:cs="Arial"/>
          <w:sz w:val="14"/>
          <w:szCs w:val="24"/>
        </w:rPr>
        <w:t>]</w:t>
      </w:r>
    </w:p>
    <w:p w:rsidR="00792898" w:rsidRPr="00792898" w:rsidRDefault="00792898" w:rsidP="00603539">
      <w:pPr>
        <w:shd w:val="clear" w:color="auto" w:fill="FFFFFF"/>
        <w:spacing w:before="100" w:beforeAutospacing="1" w:after="100" w:afterAutospacing="1" w:line="240" w:lineRule="auto"/>
        <w:rPr>
          <w:rFonts w:ascii="Arial" w:eastAsia="Times New Roman" w:hAnsi="Arial" w:cs="Arial"/>
          <w:sz w:val="20"/>
          <w:szCs w:val="21"/>
        </w:rPr>
      </w:pPr>
      <w:r w:rsidRPr="00792898">
        <w:rPr>
          <w:b/>
          <w:noProof/>
          <w:u w:val="single"/>
        </w:rPr>
        <w:drawing>
          <wp:anchor distT="0" distB="0" distL="114300" distR="114300" simplePos="0" relativeHeight="251659264" behindDoc="1" locked="0" layoutInCell="1" allowOverlap="1" wp14:anchorId="1C6A42CC" wp14:editId="33914EA6">
            <wp:simplePos x="0" y="0"/>
            <wp:positionH relativeFrom="column">
              <wp:posOffset>4657725</wp:posOffset>
            </wp:positionH>
            <wp:positionV relativeFrom="paragraph">
              <wp:posOffset>1701800</wp:posOffset>
            </wp:positionV>
            <wp:extent cx="1944745" cy="2457450"/>
            <wp:effectExtent l="0" t="0" r="0" b="0"/>
            <wp:wrapNone/>
            <wp:docPr id="2" name="Picture 2" descr="Sing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ger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44745"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2898">
        <w:rPr>
          <w:rFonts w:ascii="Arial" w:eastAsia="Times New Roman" w:hAnsi="Arial" w:cs="Arial"/>
          <w:sz w:val="20"/>
          <w:szCs w:val="21"/>
        </w:rPr>
        <w:t>Published in 1975, </w:t>
      </w:r>
      <w:r w:rsidRPr="00792898">
        <w:rPr>
          <w:rFonts w:ascii="Arial" w:eastAsia="Times New Roman" w:hAnsi="Arial" w:cs="Arial"/>
          <w:i/>
          <w:iCs/>
          <w:sz w:val="20"/>
          <w:szCs w:val="21"/>
        </w:rPr>
        <w:t xml:space="preserve">Animal </w:t>
      </w:r>
      <w:proofErr w:type="gramStart"/>
      <w:r w:rsidRPr="00792898">
        <w:rPr>
          <w:rFonts w:ascii="Arial" w:eastAsia="Times New Roman" w:hAnsi="Arial" w:cs="Arial"/>
          <w:i/>
          <w:iCs/>
          <w:sz w:val="20"/>
          <w:szCs w:val="21"/>
        </w:rPr>
        <w:t>Liberation</w:t>
      </w:r>
      <w:proofErr w:type="gramEnd"/>
      <w:hyperlink r:id="rId16" w:anchor="cite_note-15" w:history="1">
        <w:r w:rsidRPr="00792898">
          <w:rPr>
            <w:rFonts w:ascii="Arial" w:eastAsia="Times New Roman" w:hAnsi="Arial" w:cs="Arial"/>
            <w:sz w:val="16"/>
            <w:szCs w:val="17"/>
            <w:vertAlign w:val="superscript"/>
          </w:rPr>
          <w:t>[15]</w:t>
        </w:r>
      </w:hyperlink>
      <w:r w:rsidRPr="00792898">
        <w:rPr>
          <w:rFonts w:ascii="Arial" w:eastAsia="Times New Roman" w:hAnsi="Arial" w:cs="Arial"/>
          <w:sz w:val="20"/>
          <w:szCs w:val="21"/>
        </w:rPr>
        <w:t> has been cited as a formative influence on leaders of the modern animal liberation movement.</w:t>
      </w:r>
      <w:hyperlink r:id="rId17" w:anchor="cite_note-16" w:history="1">
        <w:r w:rsidRPr="00792898">
          <w:rPr>
            <w:rFonts w:ascii="Arial" w:eastAsia="Times New Roman" w:hAnsi="Arial" w:cs="Arial"/>
            <w:sz w:val="16"/>
            <w:szCs w:val="17"/>
            <w:vertAlign w:val="superscript"/>
          </w:rPr>
          <w:t>[16]</w:t>
        </w:r>
      </w:hyperlink>
      <w:r w:rsidRPr="00792898">
        <w:rPr>
          <w:rFonts w:ascii="Arial" w:eastAsia="Times New Roman" w:hAnsi="Arial" w:cs="Arial"/>
          <w:sz w:val="20"/>
          <w:szCs w:val="21"/>
        </w:rPr>
        <w:t> The central argument of the book is an expansion of the </w:t>
      </w:r>
      <w:hyperlink r:id="rId18" w:tooltip="Utilitarianism" w:history="1">
        <w:r w:rsidRPr="00792898">
          <w:rPr>
            <w:rFonts w:ascii="Arial" w:eastAsia="Times New Roman" w:hAnsi="Arial" w:cs="Arial"/>
            <w:sz w:val="20"/>
            <w:szCs w:val="21"/>
          </w:rPr>
          <w:t>utilitarian</w:t>
        </w:r>
      </w:hyperlink>
      <w:r w:rsidRPr="00792898">
        <w:rPr>
          <w:rFonts w:ascii="Arial" w:eastAsia="Times New Roman" w:hAnsi="Arial" w:cs="Arial"/>
          <w:sz w:val="20"/>
          <w:szCs w:val="21"/>
        </w:rPr>
        <w:t xml:space="preserve"> idea that "the greatest good of the greatest number" is the only measure of good or ethical </w:t>
      </w:r>
      <w:proofErr w:type="spellStart"/>
      <w:r w:rsidRPr="00792898">
        <w:rPr>
          <w:rFonts w:ascii="Arial" w:eastAsia="Times New Roman" w:hAnsi="Arial" w:cs="Arial"/>
          <w:sz w:val="20"/>
          <w:szCs w:val="21"/>
        </w:rPr>
        <w:t>behaviour</w:t>
      </w:r>
      <w:proofErr w:type="spellEnd"/>
      <w:r w:rsidRPr="00792898">
        <w:rPr>
          <w:rFonts w:ascii="Arial" w:eastAsia="Times New Roman" w:hAnsi="Arial" w:cs="Arial"/>
          <w:sz w:val="20"/>
          <w:szCs w:val="21"/>
        </w:rPr>
        <w:t>. Singer believes that there is no reason not to apply this to other animals, arguing that the boundary between human and ‘animal’ is completely arbitrary. There are more differences between a great ape and an oyster, for example, than between a human and a great ape, and yet the former two are lumped together as ‘animals’ whilst we are ‘human’.</w:t>
      </w:r>
    </w:p>
    <w:p w:rsidR="00792898" w:rsidRPr="00792898" w:rsidRDefault="00792898" w:rsidP="00603539">
      <w:pPr>
        <w:shd w:val="clear" w:color="auto" w:fill="FFFFFF"/>
        <w:spacing w:before="100" w:beforeAutospacing="1" w:after="100" w:afterAutospacing="1" w:line="240" w:lineRule="auto"/>
        <w:rPr>
          <w:rFonts w:ascii="Arial" w:eastAsia="Times New Roman" w:hAnsi="Arial" w:cs="Arial"/>
          <w:sz w:val="20"/>
          <w:szCs w:val="21"/>
        </w:rPr>
      </w:pPr>
      <w:r w:rsidRPr="00792898">
        <w:rPr>
          <w:rFonts w:ascii="Arial" w:eastAsia="Times New Roman" w:hAnsi="Arial" w:cs="Arial"/>
          <w:sz w:val="20"/>
          <w:szCs w:val="21"/>
        </w:rPr>
        <w:t>In particular, he argues that while animals show lower intelligence than the average human, many severely intellectually challenged humans show equally diminished, if not lower, mental capacity, and that some animals have displayed signs of intelligence sometimes on par with that of human children. Singer therefore argues intelligence does not provide a basis for providing nonhuman animals any less consideration than such intellectually challenged humans.</w:t>
      </w:r>
      <w:hyperlink r:id="rId19" w:anchor="cite_note-On_Humans_and_Animals-17" w:history="1">
        <w:r w:rsidRPr="00792898">
          <w:rPr>
            <w:rFonts w:ascii="Arial" w:eastAsia="Times New Roman" w:hAnsi="Arial" w:cs="Arial"/>
            <w:sz w:val="16"/>
            <w:szCs w:val="17"/>
            <w:vertAlign w:val="superscript"/>
          </w:rPr>
          <w:t>[17]</w:t>
        </w:r>
      </w:hyperlink>
    </w:p>
    <w:p w:rsidR="00792898" w:rsidRPr="00603539" w:rsidRDefault="00792898" w:rsidP="00603539">
      <w:pPr>
        <w:pStyle w:val="Heading3"/>
        <w:shd w:val="clear" w:color="auto" w:fill="FFFFFF"/>
        <w:spacing w:before="100" w:beforeAutospacing="1" w:after="100" w:afterAutospacing="1" w:line="240" w:lineRule="auto"/>
        <w:rPr>
          <w:rFonts w:ascii="Arial" w:hAnsi="Arial" w:cs="Arial"/>
          <w:b w:val="0"/>
          <w:i/>
          <w:color w:val="000000"/>
          <w:sz w:val="20"/>
          <w:szCs w:val="28"/>
        </w:rPr>
      </w:pPr>
      <w:r w:rsidRPr="00603539">
        <w:rPr>
          <w:rStyle w:val="mw-headline"/>
          <w:rFonts w:ascii="Arial" w:hAnsi="Arial" w:cs="Arial"/>
          <w:b w:val="0"/>
          <w:i/>
          <w:color w:val="000000"/>
          <w:sz w:val="20"/>
          <w:szCs w:val="28"/>
        </w:rPr>
        <w:t>Euthanasia and infanticide</w:t>
      </w:r>
    </w:p>
    <w:p w:rsidR="00792898" w:rsidRPr="00792898" w:rsidRDefault="00792898" w:rsidP="00603539">
      <w:pPr>
        <w:pStyle w:val="NormalWeb"/>
        <w:shd w:val="clear" w:color="auto" w:fill="FFFFFF"/>
        <w:rPr>
          <w:rFonts w:ascii="Arial" w:hAnsi="Arial" w:cs="Arial"/>
          <w:color w:val="252525"/>
          <w:sz w:val="20"/>
          <w:szCs w:val="21"/>
        </w:rPr>
      </w:pPr>
      <w:r w:rsidRPr="00792898">
        <w:rPr>
          <w:rFonts w:ascii="Arial" w:hAnsi="Arial" w:cs="Arial"/>
          <w:color w:val="252525"/>
          <w:sz w:val="20"/>
          <w:szCs w:val="21"/>
        </w:rPr>
        <w:t>Consistent with his general ethical theory, Singer holds that the right to life is essentially tied to a being's capacity to hold preferences, which in turn is essentially tied to a being's capacity to feel pain and pleasure. Critics such as Laing hold that this view is subject to charges of inconsistency, equivocation and contradiction.</w:t>
      </w:r>
    </w:p>
    <w:p w:rsidR="00792898" w:rsidRPr="00792898" w:rsidRDefault="00792898" w:rsidP="00603539">
      <w:pPr>
        <w:pStyle w:val="NormalWeb"/>
        <w:shd w:val="clear" w:color="auto" w:fill="FFFFFF"/>
        <w:rPr>
          <w:rFonts w:ascii="Arial" w:hAnsi="Arial" w:cs="Arial"/>
          <w:color w:val="252525"/>
          <w:sz w:val="20"/>
          <w:szCs w:val="21"/>
        </w:rPr>
      </w:pPr>
      <w:r w:rsidRPr="00792898">
        <w:rPr>
          <w:rFonts w:ascii="Arial" w:hAnsi="Arial" w:cs="Arial"/>
          <w:color w:val="252525"/>
          <w:sz w:val="20"/>
          <w:szCs w:val="21"/>
        </w:rPr>
        <w:t>Similar to his argument for abortion, Singer argues that newborns lack the essential characteristics of personhood—"rationality, autonomy, and self-consciousness"</w:t>
      </w:r>
      <w:hyperlink r:id="rId20" w:anchor="cite_note-24" w:history="1">
        <w:r w:rsidRPr="00792898">
          <w:rPr>
            <w:rStyle w:val="Hyperlink"/>
            <w:rFonts w:ascii="Arial" w:hAnsi="Arial" w:cs="Arial"/>
            <w:color w:val="0B0080"/>
            <w:sz w:val="16"/>
            <w:szCs w:val="17"/>
            <w:vertAlign w:val="superscript"/>
          </w:rPr>
          <w:t>[24]</w:t>
        </w:r>
      </w:hyperlink>
      <w:r w:rsidRPr="00792898">
        <w:rPr>
          <w:rFonts w:ascii="Arial" w:hAnsi="Arial" w:cs="Arial"/>
          <w:color w:val="252525"/>
          <w:sz w:val="20"/>
          <w:szCs w:val="21"/>
        </w:rPr>
        <w:t>—and therefore "killing a newborn baby is never equivalent to killing a person, that is, a being who wants to go on living."</w:t>
      </w:r>
      <w:hyperlink r:id="rId21" w:anchor="cite_note-SingerFAQ-25" w:history="1">
        <w:r w:rsidRPr="00792898">
          <w:rPr>
            <w:rStyle w:val="Hyperlink"/>
            <w:rFonts w:ascii="Arial" w:hAnsi="Arial" w:cs="Arial"/>
            <w:color w:val="0B0080"/>
            <w:sz w:val="16"/>
            <w:szCs w:val="17"/>
            <w:vertAlign w:val="superscript"/>
          </w:rPr>
          <w:t>[25]</w:t>
        </w:r>
      </w:hyperlink>
    </w:p>
    <w:p w:rsidR="00603539" w:rsidRPr="00792898" w:rsidRDefault="00603539" w:rsidP="00792898"/>
    <w:sectPr w:rsidR="00603539" w:rsidRPr="00792898" w:rsidSect="00792898">
      <w:pgSz w:w="12240" w:h="15840"/>
      <w:pgMar w:top="990" w:right="4140" w:bottom="90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898"/>
    <w:rsid w:val="004D16AC"/>
    <w:rsid w:val="00603539"/>
    <w:rsid w:val="00792898"/>
    <w:rsid w:val="007E4B2D"/>
    <w:rsid w:val="00834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928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928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2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898"/>
    <w:rPr>
      <w:rFonts w:ascii="Tahoma" w:hAnsi="Tahoma" w:cs="Tahoma"/>
      <w:sz w:val="16"/>
      <w:szCs w:val="16"/>
    </w:rPr>
  </w:style>
  <w:style w:type="character" w:styleId="Hyperlink">
    <w:name w:val="Hyperlink"/>
    <w:basedOn w:val="DefaultParagraphFont"/>
    <w:uiPriority w:val="99"/>
    <w:semiHidden/>
    <w:unhideWhenUsed/>
    <w:rsid w:val="00792898"/>
    <w:rPr>
      <w:color w:val="0000FF"/>
      <w:u w:val="single"/>
    </w:rPr>
  </w:style>
  <w:style w:type="character" w:customStyle="1" w:styleId="apple-converted-space">
    <w:name w:val="apple-converted-space"/>
    <w:basedOn w:val="DefaultParagraphFont"/>
    <w:rsid w:val="00792898"/>
  </w:style>
  <w:style w:type="character" w:customStyle="1" w:styleId="Heading2Char">
    <w:name w:val="Heading 2 Char"/>
    <w:basedOn w:val="DefaultParagraphFont"/>
    <w:link w:val="Heading2"/>
    <w:uiPriority w:val="9"/>
    <w:rsid w:val="00792898"/>
    <w:rPr>
      <w:rFonts w:ascii="Times New Roman" w:eastAsia="Times New Roman" w:hAnsi="Times New Roman" w:cs="Times New Roman"/>
      <w:b/>
      <w:bCs/>
      <w:sz w:val="36"/>
      <w:szCs w:val="36"/>
    </w:rPr>
  </w:style>
  <w:style w:type="character" w:customStyle="1" w:styleId="mw-headline">
    <w:name w:val="mw-headline"/>
    <w:basedOn w:val="DefaultParagraphFont"/>
    <w:rsid w:val="00792898"/>
  </w:style>
  <w:style w:type="character" w:customStyle="1" w:styleId="mw-editsection">
    <w:name w:val="mw-editsection"/>
    <w:basedOn w:val="DefaultParagraphFont"/>
    <w:rsid w:val="00792898"/>
  </w:style>
  <w:style w:type="character" w:customStyle="1" w:styleId="mw-editsection-bracket">
    <w:name w:val="mw-editsection-bracket"/>
    <w:basedOn w:val="DefaultParagraphFont"/>
    <w:rsid w:val="00792898"/>
  </w:style>
  <w:style w:type="paragraph" w:styleId="NormalWeb">
    <w:name w:val="Normal (Web)"/>
    <w:basedOn w:val="Normal"/>
    <w:uiPriority w:val="99"/>
    <w:semiHidden/>
    <w:unhideWhenUsed/>
    <w:rsid w:val="007928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792898"/>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928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928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2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898"/>
    <w:rPr>
      <w:rFonts w:ascii="Tahoma" w:hAnsi="Tahoma" w:cs="Tahoma"/>
      <w:sz w:val="16"/>
      <w:szCs w:val="16"/>
    </w:rPr>
  </w:style>
  <w:style w:type="character" w:styleId="Hyperlink">
    <w:name w:val="Hyperlink"/>
    <w:basedOn w:val="DefaultParagraphFont"/>
    <w:uiPriority w:val="99"/>
    <w:semiHidden/>
    <w:unhideWhenUsed/>
    <w:rsid w:val="00792898"/>
    <w:rPr>
      <w:color w:val="0000FF"/>
      <w:u w:val="single"/>
    </w:rPr>
  </w:style>
  <w:style w:type="character" w:customStyle="1" w:styleId="apple-converted-space">
    <w:name w:val="apple-converted-space"/>
    <w:basedOn w:val="DefaultParagraphFont"/>
    <w:rsid w:val="00792898"/>
  </w:style>
  <w:style w:type="character" w:customStyle="1" w:styleId="Heading2Char">
    <w:name w:val="Heading 2 Char"/>
    <w:basedOn w:val="DefaultParagraphFont"/>
    <w:link w:val="Heading2"/>
    <w:uiPriority w:val="9"/>
    <w:rsid w:val="00792898"/>
    <w:rPr>
      <w:rFonts w:ascii="Times New Roman" w:eastAsia="Times New Roman" w:hAnsi="Times New Roman" w:cs="Times New Roman"/>
      <w:b/>
      <w:bCs/>
      <w:sz w:val="36"/>
      <w:szCs w:val="36"/>
    </w:rPr>
  </w:style>
  <w:style w:type="character" w:customStyle="1" w:styleId="mw-headline">
    <w:name w:val="mw-headline"/>
    <w:basedOn w:val="DefaultParagraphFont"/>
    <w:rsid w:val="00792898"/>
  </w:style>
  <w:style w:type="character" w:customStyle="1" w:styleId="mw-editsection">
    <w:name w:val="mw-editsection"/>
    <w:basedOn w:val="DefaultParagraphFont"/>
    <w:rsid w:val="00792898"/>
  </w:style>
  <w:style w:type="character" w:customStyle="1" w:styleId="mw-editsection-bracket">
    <w:name w:val="mw-editsection-bracket"/>
    <w:basedOn w:val="DefaultParagraphFont"/>
    <w:rsid w:val="00792898"/>
  </w:style>
  <w:style w:type="paragraph" w:styleId="NormalWeb">
    <w:name w:val="Normal (Web)"/>
    <w:basedOn w:val="Normal"/>
    <w:uiPriority w:val="99"/>
    <w:semiHidden/>
    <w:unhideWhenUsed/>
    <w:rsid w:val="007928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79289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49567">
      <w:bodyDiv w:val="1"/>
      <w:marLeft w:val="0"/>
      <w:marRight w:val="0"/>
      <w:marTop w:val="0"/>
      <w:marBottom w:val="0"/>
      <w:divBdr>
        <w:top w:val="none" w:sz="0" w:space="0" w:color="auto"/>
        <w:left w:val="none" w:sz="0" w:space="0" w:color="auto"/>
        <w:bottom w:val="none" w:sz="0" w:space="0" w:color="auto"/>
        <w:right w:val="none" w:sz="0" w:space="0" w:color="auto"/>
      </w:divBdr>
      <w:divsChild>
        <w:div w:id="1279221026">
          <w:marLeft w:val="0"/>
          <w:marRight w:val="0"/>
          <w:marTop w:val="0"/>
          <w:marBottom w:val="120"/>
          <w:divBdr>
            <w:top w:val="none" w:sz="0" w:space="0" w:color="auto"/>
            <w:left w:val="none" w:sz="0" w:space="0" w:color="auto"/>
            <w:bottom w:val="none" w:sz="0" w:space="0" w:color="auto"/>
            <w:right w:val="none" w:sz="0" w:space="0" w:color="auto"/>
          </w:divBdr>
        </w:div>
      </w:divsChild>
    </w:div>
    <w:div w:id="176029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Family_planning" TargetMode="External"/><Relationship Id="rId13" Type="http://schemas.openxmlformats.org/officeDocument/2006/relationships/hyperlink" Target="http://en.wikipedia.org/wiki/Margaret_Sanger" TargetMode="External"/><Relationship Id="rId18" Type="http://schemas.openxmlformats.org/officeDocument/2006/relationships/hyperlink" Target="http://en.wikipedia.org/wiki/Utilitarianism" TargetMode="External"/><Relationship Id="rId3" Type="http://schemas.openxmlformats.org/officeDocument/2006/relationships/settings" Target="settings.xml"/><Relationship Id="rId21" Type="http://schemas.openxmlformats.org/officeDocument/2006/relationships/hyperlink" Target="http://en.wikipedia.org/wiki/Peter_Singer" TargetMode="External"/><Relationship Id="rId7" Type="http://schemas.openxmlformats.org/officeDocument/2006/relationships/hyperlink" Target="http://en.wikipedia.org/wiki/Margaret_Sanger" TargetMode="External"/><Relationship Id="rId12" Type="http://schemas.openxmlformats.org/officeDocument/2006/relationships/hyperlink" Target="http://en.wikipedia.org/wiki/Margaret_Sanger" TargetMode="External"/><Relationship Id="rId17" Type="http://schemas.openxmlformats.org/officeDocument/2006/relationships/hyperlink" Target="http://en.wikipedia.org/wiki/Peter_Singer" TargetMode="External"/><Relationship Id="rId2" Type="http://schemas.microsoft.com/office/2007/relationships/stylesWithEffects" Target="stylesWithEffects.xml"/><Relationship Id="rId16" Type="http://schemas.openxmlformats.org/officeDocument/2006/relationships/hyperlink" Target="http://en.wikipedia.org/wiki/Peter_Singer" TargetMode="External"/><Relationship Id="rId20" Type="http://schemas.openxmlformats.org/officeDocument/2006/relationships/hyperlink" Target="http://en.wikipedia.org/wiki/Peter_Singer" TargetMode="External"/><Relationship Id="rId1" Type="http://schemas.openxmlformats.org/officeDocument/2006/relationships/styles" Target="styles.xml"/><Relationship Id="rId6" Type="http://schemas.openxmlformats.org/officeDocument/2006/relationships/hyperlink" Target="http://en.wikipedia.org/wiki/Margaret_Sanger" TargetMode="External"/><Relationship Id="rId11" Type="http://schemas.openxmlformats.org/officeDocument/2006/relationships/hyperlink" Target="http://en.wikipedia.org/wiki/Margaret_Sanger" TargetMode="External"/><Relationship Id="rId5" Type="http://schemas.openxmlformats.org/officeDocument/2006/relationships/image" Target="media/image1.png"/><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http://en.wikipedia.org/wiki/Margaret_Sanger" TargetMode="External"/><Relationship Id="rId19" Type="http://schemas.openxmlformats.org/officeDocument/2006/relationships/hyperlink" Target="http://en.wikipedia.org/wiki/Peter_Singer" TargetMode="External"/><Relationship Id="rId4" Type="http://schemas.openxmlformats.org/officeDocument/2006/relationships/webSettings" Target="webSettings.xml"/><Relationship Id="rId9" Type="http://schemas.openxmlformats.org/officeDocument/2006/relationships/hyperlink" Target="http://en.wikipedia.org/wiki/Margaret_Sanger" TargetMode="External"/><Relationship Id="rId14" Type="http://schemas.openxmlformats.org/officeDocument/2006/relationships/hyperlink" Target="http://en.wikipedia.org/wiki/Margaret_Sang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 Myers</dc:creator>
  <cp:lastModifiedBy>KMyers</cp:lastModifiedBy>
  <cp:revision>2</cp:revision>
  <dcterms:created xsi:type="dcterms:W3CDTF">2015-01-24T20:32:00Z</dcterms:created>
  <dcterms:modified xsi:type="dcterms:W3CDTF">2015-01-26T12:48:00Z</dcterms:modified>
</cp:coreProperties>
</file>